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CD0" w:rsidRDefault="009E2B70">
      <w:pPr>
        <w:pStyle w:val="Style1"/>
        <w:kinsoku w:val="0"/>
        <w:autoSpaceDE/>
        <w:autoSpaceDN/>
        <w:adjustRightInd/>
        <w:spacing w:before="576" w:line="204" w:lineRule="auto"/>
        <w:jc w:val="center"/>
        <w:rPr>
          <w:b/>
          <w:bCs/>
          <w:spacing w:val="-4"/>
          <w:w w:val="105"/>
          <w:lang w:val="es-ES" w:eastAsia="es-ES"/>
        </w:rPr>
      </w:pPr>
      <w:r>
        <w:rPr>
          <w:b/>
          <w:bCs/>
          <w:spacing w:val="-4"/>
          <w:w w:val="105"/>
          <w:lang w:val="es-ES" w:eastAsia="es-ES"/>
        </w:rPr>
        <w:t>RESOLUCION TAT No.1432-05</w:t>
      </w:r>
    </w:p>
    <w:p w:rsidR="00A25CD0" w:rsidRDefault="009E2B70">
      <w:pPr>
        <w:pStyle w:val="Style1"/>
        <w:kinsoku w:val="0"/>
        <w:autoSpaceDE/>
        <w:autoSpaceDN/>
        <w:adjustRightInd/>
        <w:spacing w:before="288"/>
        <w:ind w:left="72" w:right="72"/>
        <w:rPr>
          <w:spacing w:val="-3"/>
          <w:w w:val="105"/>
          <w:lang w:val="es-ES" w:eastAsia="es-ES"/>
        </w:rPr>
      </w:pPr>
      <w:r>
        <w:rPr>
          <w:b/>
          <w:bCs/>
          <w:spacing w:val="-4"/>
          <w:w w:val="105"/>
          <w:lang w:val="es-ES" w:eastAsia="es-ES"/>
        </w:rPr>
        <w:t xml:space="preserve">TRIBUNAL ADMINISTRATIVO DE TRANSPORTE. San </w:t>
      </w:r>
      <w:r>
        <w:rPr>
          <w:spacing w:val="-4"/>
          <w:w w:val="105"/>
          <w:lang w:val="es-ES" w:eastAsia="es-ES"/>
        </w:rPr>
        <w:t xml:space="preserve">José, a las catorce horas </w:t>
      </w:r>
      <w:r>
        <w:rPr>
          <w:spacing w:val="-3"/>
          <w:w w:val="105"/>
          <w:lang w:val="es-ES" w:eastAsia="es-ES"/>
        </w:rPr>
        <w:t>veintiocho minutos del veintiséis de octubre de dos mil cinco.-</w:t>
      </w:r>
    </w:p>
    <w:p w:rsidR="00A25CD0" w:rsidRDefault="009E2B70">
      <w:pPr>
        <w:pStyle w:val="Style2"/>
        <w:kinsoku w:val="0"/>
        <w:autoSpaceDE/>
        <w:autoSpaceDN/>
        <w:rPr>
          <w:rStyle w:val="CharacterStyle1"/>
          <w:spacing w:val="-4"/>
          <w:w w:val="105"/>
          <w:lang w:val="es-ES" w:eastAsia="es-ES"/>
        </w:rPr>
      </w:pPr>
      <w:r>
        <w:rPr>
          <w:rStyle w:val="CharacterStyle1"/>
          <w:spacing w:val="-3"/>
          <w:w w:val="105"/>
          <w:lang w:val="es-ES" w:eastAsia="es-ES"/>
        </w:rPr>
        <w:t xml:space="preserve">Se conoce Recurso Apelación, e Incidentes de Suspensión del Acto Administrativo y de </w:t>
      </w:r>
      <w:r>
        <w:rPr>
          <w:rStyle w:val="CharacterStyle1"/>
          <w:spacing w:val="-2"/>
          <w:w w:val="105"/>
          <w:lang w:val="es-ES" w:eastAsia="es-ES"/>
        </w:rPr>
        <w:t xml:space="preserve">Nulidad interpuesto por el señor </w:t>
      </w:r>
      <w:r>
        <w:rPr>
          <w:rStyle w:val="CharacterStyle1"/>
          <w:b/>
          <w:bCs/>
          <w:spacing w:val="-2"/>
          <w:sz w:val="19"/>
          <w:szCs w:val="19"/>
          <w:lang w:val="es-ES" w:eastAsia="es-ES"/>
        </w:rPr>
        <w:t xml:space="preserve">HCB, </w:t>
      </w:r>
      <w:r>
        <w:rPr>
          <w:rStyle w:val="CharacterStyle1"/>
          <w:spacing w:val="-2"/>
          <w:w w:val="105"/>
          <w:lang w:val="es-ES" w:eastAsia="es-ES"/>
        </w:rPr>
        <w:t xml:space="preserve">portador de la cédula de </w:t>
      </w:r>
      <w:r>
        <w:rPr>
          <w:rStyle w:val="CharacterStyle1"/>
          <w:spacing w:val="2"/>
          <w:w w:val="105"/>
          <w:lang w:val="es-ES" w:eastAsia="es-ES"/>
        </w:rPr>
        <w:t xml:space="preserve">identidad </w:t>
      </w:r>
      <w:proofErr w:type="gramStart"/>
      <w:r>
        <w:rPr>
          <w:rStyle w:val="CharacterStyle1"/>
          <w:spacing w:val="2"/>
          <w:w w:val="105"/>
          <w:lang w:val="es-ES" w:eastAsia="es-ES"/>
        </w:rPr>
        <w:t>número …</w:t>
      </w:r>
      <w:proofErr w:type="gramEnd"/>
      <w:r>
        <w:rPr>
          <w:rStyle w:val="CharacterStyle1"/>
          <w:spacing w:val="2"/>
          <w:w w:val="105"/>
          <w:lang w:val="es-ES" w:eastAsia="es-ES"/>
        </w:rPr>
        <w:t xml:space="preserve">, en representación del señor </w:t>
      </w:r>
      <w:r>
        <w:rPr>
          <w:rStyle w:val="CharacterStyle1"/>
          <w:b/>
          <w:bCs/>
          <w:spacing w:val="2"/>
          <w:sz w:val="19"/>
          <w:szCs w:val="19"/>
          <w:lang w:val="es-ES" w:eastAsia="es-ES"/>
        </w:rPr>
        <w:t xml:space="preserve">RPC, </w:t>
      </w:r>
      <w:r>
        <w:rPr>
          <w:rStyle w:val="CharacterStyle1"/>
          <w:spacing w:val="-4"/>
          <w:w w:val="105"/>
          <w:lang w:val="es-ES" w:eastAsia="es-ES"/>
        </w:rPr>
        <w:t xml:space="preserve">cédula … contra el Acuerdo 2 de la Sesión 3200 del día 7 de mayo de 1998, dictado </w:t>
      </w:r>
      <w:r>
        <w:rPr>
          <w:rStyle w:val="CharacterStyle1"/>
          <w:spacing w:val="-3"/>
          <w:w w:val="105"/>
          <w:lang w:val="es-ES" w:eastAsia="es-ES"/>
        </w:rPr>
        <w:t xml:space="preserve">por la extinta Comisión Técnica de Transportes, mismo que se tramita en este despacho </w:t>
      </w:r>
      <w:r>
        <w:rPr>
          <w:rStyle w:val="CharacterStyle1"/>
          <w:spacing w:val="-4"/>
          <w:w w:val="105"/>
          <w:lang w:val="es-ES" w:eastAsia="es-ES"/>
        </w:rPr>
        <w:t>mediante expediente Administrativo No. TAT-043-00.</w:t>
      </w:r>
    </w:p>
    <w:p w:rsidR="00A25CD0" w:rsidRDefault="009E2B70">
      <w:pPr>
        <w:pStyle w:val="Style1"/>
        <w:kinsoku w:val="0"/>
        <w:autoSpaceDE/>
        <w:autoSpaceDN/>
        <w:adjustRightInd/>
        <w:spacing w:before="576"/>
        <w:ind w:left="72"/>
        <w:rPr>
          <w:rFonts w:ascii="Garamond" w:hAnsi="Garamond" w:cs="Garamond"/>
          <w:spacing w:val="-2"/>
          <w:sz w:val="26"/>
          <w:szCs w:val="26"/>
          <w:lang w:val="es-ES" w:eastAsia="es-ES"/>
        </w:rPr>
      </w:pPr>
      <w:r>
        <w:rPr>
          <w:b/>
          <w:bCs/>
          <w:spacing w:val="-2"/>
          <w:w w:val="105"/>
          <w:lang w:val="es-ES" w:eastAsia="es-ES"/>
        </w:rPr>
        <w:t xml:space="preserve">Redacta el Juez Fallas Acosta; </w:t>
      </w:r>
      <w:r>
        <w:rPr>
          <w:rFonts w:ascii="Garamond" w:hAnsi="Garamond" w:cs="Garamond"/>
          <w:spacing w:val="-2"/>
          <w:sz w:val="26"/>
          <w:szCs w:val="26"/>
          <w:lang w:val="es-ES" w:eastAsia="es-ES"/>
        </w:rPr>
        <w:t>y,</w:t>
      </w:r>
    </w:p>
    <w:p w:rsidR="00A25CD0" w:rsidRDefault="009E2B70">
      <w:pPr>
        <w:pStyle w:val="Style1"/>
        <w:kinsoku w:val="0"/>
        <w:autoSpaceDE/>
        <w:autoSpaceDN/>
        <w:adjustRightInd/>
        <w:spacing w:before="576" w:line="204" w:lineRule="auto"/>
        <w:ind w:left="3096"/>
        <w:rPr>
          <w:b/>
          <w:bCs/>
          <w:spacing w:val="-8"/>
          <w:w w:val="105"/>
          <w:lang w:val="es-ES" w:eastAsia="es-ES"/>
        </w:rPr>
      </w:pPr>
      <w:r>
        <w:rPr>
          <w:b/>
          <w:bCs/>
          <w:spacing w:val="-8"/>
          <w:w w:val="105"/>
          <w:lang w:val="es-ES" w:eastAsia="es-ES"/>
        </w:rPr>
        <w:t>CONSIDERANDO UNICO:</w:t>
      </w:r>
    </w:p>
    <w:p w:rsidR="00A25CD0" w:rsidRDefault="009E2B70">
      <w:pPr>
        <w:pStyle w:val="Style2"/>
        <w:kinsoku w:val="0"/>
        <w:autoSpaceDE/>
        <w:autoSpaceDN/>
        <w:rPr>
          <w:rStyle w:val="CharacterStyle1"/>
          <w:spacing w:val="-3"/>
          <w:w w:val="105"/>
          <w:lang w:val="es-ES" w:eastAsia="es-ES"/>
        </w:rPr>
      </w:pPr>
      <w:r>
        <w:rPr>
          <w:rStyle w:val="CharacterStyle1"/>
          <w:spacing w:val="-4"/>
          <w:w w:val="105"/>
          <w:lang w:val="es-ES" w:eastAsia="es-ES"/>
        </w:rPr>
        <w:t xml:space="preserve">Visto el Recurso de Revocatoria con Apelación en Subsidio, así como los </w:t>
      </w:r>
      <w:r>
        <w:rPr>
          <w:rStyle w:val="CharacterStyle1"/>
          <w:rFonts w:ascii="Garamond" w:hAnsi="Garamond" w:cs="Garamond"/>
          <w:spacing w:val="-4"/>
          <w:sz w:val="26"/>
          <w:szCs w:val="26"/>
          <w:lang w:val="es-ES" w:eastAsia="es-ES"/>
        </w:rPr>
        <w:t xml:space="preserve">Incidentes </w:t>
      </w:r>
      <w:r>
        <w:rPr>
          <w:rStyle w:val="CharacterStyle1"/>
          <w:spacing w:val="-4"/>
          <w:w w:val="105"/>
          <w:lang w:val="es-ES" w:eastAsia="es-ES"/>
        </w:rPr>
        <w:t xml:space="preserve">de </w:t>
      </w:r>
      <w:r>
        <w:rPr>
          <w:rStyle w:val="CharacterStyle1"/>
          <w:spacing w:val="-2"/>
          <w:w w:val="105"/>
          <w:lang w:val="es-ES" w:eastAsia="es-ES"/>
        </w:rPr>
        <w:t xml:space="preserve">Suspensión del Acto Administrativo y de Nulidad presentados por </w:t>
      </w:r>
      <w:r>
        <w:rPr>
          <w:rStyle w:val="CharacterStyle1"/>
          <w:b/>
          <w:bCs/>
          <w:spacing w:val="-2"/>
          <w:sz w:val="19"/>
          <w:szCs w:val="19"/>
          <w:lang w:val="es-ES" w:eastAsia="es-ES"/>
        </w:rPr>
        <w:t>HCB</w:t>
      </w:r>
      <w:r>
        <w:rPr>
          <w:rStyle w:val="CharacterStyle1"/>
          <w:b/>
          <w:bCs/>
          <w:spacing w:val="1"/>
          <w:sz w:val="19"/>
          <w:szCs w:val="19"/>
          <w:lang w:val="es-ES" w:eastAsia="es-ES"/>
        </w:rPr>
        <w:t xml:space="preserve">, </w:t>
      </w:r>
      <w:r>
        <w:rPr>
          <w:rStyle w:val="CharacterStyle1"/>
          <w:spacing w:val="1"/>
          <w:w w:val="105"/>
          <w:lang w:val="es-ES" w:eastAsia="es-ES"/>
        </w:rPr>
        <w:t xml:space="preserve">en representación del señor </w:t>
      </w:r>
      <w:r>
        <w:rPr>
          <w:rStyle w:val="CharacterStyle1"/>
          <w:b/>
          <w:bCs/>
          <w:spacing w:val="1"/>
          <w:sz w:val="19"/>
          <w:szCs w:val="19"/>
          <w:lang w:val="es-ES" w:eastAsia="es-ES"/>
        </w:rPr>
        <w:t xml:space="preserve">RPC, </w:t>
      </w:r>
      <w:r>
        <w:rPr>
          <w:rStyle w:val="CharacterStyle1"/>
          <w:spacing w:val="1"/>
          <w:w w:val="105"/>
          <w:lang w:val="es-ES" w:eastAsia="es-ES"/>
        </w:rPr>
        <w:t xml:space="preserve">contra el Acuerdo 2 de </w:t>
      </w:r>
      <w:r>
        <w:rPr>
          <w:rStyle w:val="CharacterStyle1"/>
          <w:spacing w:val="-2"/>
          <w:w w:val="105"/>
          <w:lang w:val="es-ES" w:eastAsia="es-ES"/>
        </w:rPr>
        <w:t xml:space="preserve">la Sesión 3200 del día 7 de mayo de 1998, este Tribunal concluye que dichas medidas </w:t>
      </w:r>
      <w:r>
        <w:rPr>
          <w:rStyle w:val="CharacterStyle1"/>
          <w:spacing w:val="1"/>
          <w:w w:val="105"/>
          <w:lang w:val="es-ES" w:eastAsia="es-ES"/>
        </w:rPr>
        <w:t>recursivas han de declararse inadmisibles toda vez, que el señor C</w:t>
      </w:r>
      <w:r w:rsidR="0074418B">
        <w:rPr>
          <w:rStyle w:val="CharacterStyle1"/>
          <w:spacing w:val="1"/>
          <w:w w:val="105"/>
          <w:lang w:val="es-ES" w:eastAsia="es-ES"/>
        </w:rPr>
        <w:t>B</w:t>
      </w:r>
      <w:r>
        <w:rPr>
          <w:rStyle w:val="CharacterStyle1"/>
          <w:spacing w:val="1"/>
          <w:w w:val="105"/>
          <w:lang w:val="es-ES" w:eastAsia="es-ES"/>
        </w:rPr>
        <w:t xml:space="preserve">, no </w:t>
      </w:r>
      <w:r>
        <w:rPr>
          <w:rStyle w:val="CharacterStyle1"/>
          <w:w w:val="105"/>
          <w:lang w:val="es-ES" w:eastAsia="es-ES"/>
        </w:rPr>
        <w:t xml:space="preserve">acredita al expediente el Poder suficiente que autorice tal actuación. A folio diez del </w:t>
      </w:r>
      <w:r>
        <w:rPr>
          <w:rStyle w:val="CharacterStyle1"/>
          <w:spacing w:val="2"/>
          <w:w w:val="105"/>
          <w:lang w:val="es-ES" w:eastAsia="es-ES"/>
        </w:rPr>
        <w:t xml:space="preserve">expediente se puede observar una copia del testimonio de un </w:t>
      </w:r>
      <w:r>
        <w:rPr>
          <w:rStyle w:val="CharacterStyle1"/>
          <w:b/>
          <w:bCs/>
          <w:spacing w:val="2"/>
          <w:w w:val="105"/>
          <w:lang w:val="es-ES" w:eastAsia="es-ES"/>
        </w:rPr>
        <w:t xml:space="preserve">PODER ESPECIAL </w:t>
      </w:r>
      <w:r>
        <w:rPr>
          <w:rStyle w:val="CharacterStyle1"/>
          <w:spacing w:val="2"/>
          <w:w w:val="105"/>
          <w:lang w:val="es-ES" w:eastAsia="es-ES"/>
        </w:rPr>
        <w:t xml:space="preserve">el cual autoriza al apoderado a realizar varios trámites propios del vehículo, el que se </w:t>
      </w:r>
      <w:r>
        <w:rPr>
          <w:rStyle w:val="CharacterStyle1"/>
          <w:spacing w:val="-4"/>
          <w:w w:val="105"/>
          <w:lang w:val="es-ES" w:eastAsia="es-ES"/>
        </w:rPr>
        <w:t xml:space="preserve">identifica con el número de placa de transporte público, mas no existe autorización alguna, </w:t>
      </w:r>
      <w:r>
        <w:rPr>
          <w:rStyle w:val="CharacterStyle1"/>
          <w:spacing w:val="-2"/>
          <w:w w:val="105"/>
          <w:lang w:val="es-ES" w:eastAsia="es-ES"/>
        </w:rPr>
        <w:t xml:space="preserve">sobre la concesión o permiso, o autorización para que el apoderado realice gestiones en </w:t>
      </w:r>
      <w:r>
        <w:rPr>
          <w:rStyle w:val="CharacterStyle1"/>
          <w:spacing w:val="-4"/>
          <w:w w:val="105"/>
          <w:lang w:val="es-ES" w:eastAsia="es-ES"/>
        </w:rPr>
        <w:t xml:space="preserve">oficinas de la autoridad reguladora del transporte público y menos una autorización expresa </w:t>
      </w:r>
      <w:r>
        <w:rPr>
          <w:rStyle w:val="CharacterStyle1"/>
          <w:spacing w:val="-3"/>
          <w:w w:val="105"/>
          <w:lang w:val="es-ES" w:eastAsia="es-ES"/>
        </w:rPr>
        <w:t>para la presentación del recurso de apelación que aquí se conoce.</w:t>
      </w:r>
    </w:p>
    <w:p w:rsidR="00A25CD0" w:rsidRDefault="009E2B70">
      <w:pPr>
        <w:pStyle w:val="Style2"/>
        <w:kinsoku w:val="0"/>
        <w:autoSpaceDE/>
        <w:autoSpaceDN/>
        <w:spacing w:before="288"/>
        <w:rPr>
          <w:rStyle w:val="CharacterStyle1"/>
          <w:w w:val="105"/>
          <w:lang w:val="es-ES" w:eastAsia="es-ES"/>
        </w:rPr>
      </w:pPr>
      <w:r>
        <w:rPr>
          <w:rStyle w:val="CharacterStyle1"/>
          <w:spacing w:val="-2"/>
          <w:w w:val="105"/>
          <w:lang w:val="es-ES" w:eastAsia="es-ES"/>
        </w:rPr>
        <w:t xml:space="preserve">El Código Civil, en el Título VII regula la figura del mandato y distingue tres clases de </w:t>
      </w:r>
      <w:r>
        <w:rPr>
          <w:rStyle w:val="CharacterStyle1"/>
          <w:spacing w:val="1"/>
          <w:w w:val="105"/>
          <w:lang w:val="es-ES" w:eastAsia="es-ES"/>
        </w:rPr>
        <w:t xml:space="preserve">poderes: generalísimo, general y especial. Asimismo regula el mandato judicial. Éste </w:t>
      </w:r>
      <w:r>
        <w:rPr>
          <w:rStyle w:val="CharacterStyle1"/>
          <w:spacing w:val="-4"/>
          <w:w w:val="105"/>
          <w:lang w:val="es-ES" w:eastAsia="es-ES"/>
        </w:rPr>
        <w:t xml:space="preserve">último, de acuerdo con el texto del artículo 1289 de ese Código, se reserva a los asuntos </w:t>
      </w:r>
      <w:r>
        <w:rPr>
          <w:rStyle w:val="CharacterStyle1"/>
          <w:w w:val="105"/>
          <w:lang w:val="es-ES" w:eastAsia="es-ES"/>
        </w:rPr>
        <w:t>judiciales.</w:t>
      </w:r>
    </w:p>
    <w:p w:rsidR="00A25CD0" w:rsidRPr="009E2B70" w:rsidRDefault="009E2B70" w:rsidP="009E2B70">
      <w:pPr>
        <w:pStyle w:val="Style1"/>
        <w:kinsoku w:val="0"/>
        <w:autoSpaceDE/>
        <w:autoSpaceDN/>
        <w:adjustRightInd/>
        <w:spacing w:before="216" w:after="792"/>
        <w:jc w:val="both"/>
        <w:rPr>
          <w:w w:val="105"/>
          <w:lang w:val="es-ES" w:eastAsia="es-ES"/>
        </w:rPr>
      </w:pPr>
      <w:r>
        <w:rPr>
          <w:spacing w:val="-2"/>
          <w:w w:val="105"/>
          <w:lang w:val="es-ES" w:eastAsia="es-ES"/>
        </w:rPr>
        <w:t>El poder presentado por el recurrente se denomina como poder especial administrativo, lo</w:t>
      </w:r>
      <w:r>
        <w:rPr>
          <w:spacing w:val="-2"/>
          <w:w w:val="105"/>
          <w:lang w:val="es-ES" w:eastAsia="es-ES"/>
        </w:rPr>
        <w:br/>
      </w:r>
      <w:r>
        <w:rPr>
          <w:w w:val="105"/>
          <w:lang w:val="es-ES" w:eastAsia="es-ES"/>
        </w:rPr>
        <w:t>que en la realidad viene a ser un poder especial. Dicho poder está regulado en el artículo</w:t>
      </w:r>
      <w:r>
        <w:rPr>
          <w:spacing w:val="-5"/>
          <w:w w:val="105"/>
          <w:lang w:val="es-ES" w:eastAsia="es-ES"/>
        </w:rPr>
        <w:t xml:space="preserve">1256 del Código Civil, que dice en su párrafo primero: "El poder especial para determinado </w:t>
      </w:r>
      <w:r>
        <w:rPr>
          <w:spacing w:val="6"/>
          <w:w w:val="105"/>
          <w:lang w:val="es-ES" w:eastAsia="es-ES"/>
        </w:rPr>
        <w:t xml:space="preserve">acto jurídico judicial y extrajudicial, solo facultará al mandatario para los actos </w:t>
      </w:r>
      <w:r>
        <w:rPr>
          <w:spacing w:val="2"/>
          <w:w w:val="105"/>
          <w:lang w:val="es-ES" w:eastAsia="es-ES"/>
        </w:rPr>
        <w:t xml:space="preserve">especificados en el mandato, sin poder extenderse siquiera a los que se consideren </w:t>
      </w:r>
      <w:r>
        <w:rPr>
          <w:spacing w:val="-5"/>
          <w:w w:val="105"/>
          <w:lang w:val="es-ES" w:eastAsia="es-ES"/>
        </w:rPr>
        <w:t xml:space="preserve">consecuencia natural de los que el apoderado esté encargado de ejecutar." De este texto se extrae que la principal característica del poder especial es que cada uno de los actos para los </w:t>
      </w:r>
      <w:r>
        <w:rPr>
          <w:spacing w:val="-1"/>
          <w:w w:val="105"/>
          <w:lang w:val="es-ES" w:eastAsia="es-ES"/>
        </w:rPr>
        <w:t xml:space="preserve">que se otorga el poder debe estar especificado. Así las cosas no queda otra salida que declarar la inadmisibilidad del recurso presentado, al carecer de legitimación el apelante </w:t>
      </w:r>
      <w:r>
        <w:rPr>
          <w:spacing w:val="-4"/>
          <w:w w:val="105"/>
          <w:lang w:val="es-ES" w:eastAsia="es-ES"/>
        </w:rPr>
        <w:t>por no contar con poder que lo autorice para tal efecto.</w:t>
      </w:r>
    </w:p>
    <w:p w:rsidR="00A25CD0" w:rsidRDefault="009E2B70">
      <w:pPr>
        <w:pStyle w:val="Style2"/>
        <w:kinsoku w:val="0"/>
        <w:autoSpaceDE/>
        <w:autoSpaceDN/>
        <w:spacing w:before="288"/>
        <w:ind w:left="0" w:right="0"/>
        <w:rPr>
          <w:rStyle w:val="CharacterStyle1"/>
          <w:spacing w:val="-4"/>
          <w:w w:val="105"/>
          <w:lang w:val="es-ES" w:eastAsia="es-ES"/>
        </w:rPr>
      </w:pPr>
      <w:r>
        <w:rPr>
          <w:rStyle w:val="CharacterStyle1"/>
          <w:b/>
          <w:bCs/>
          <w:spacing w:val="-6"/>
          <w:sz w:val="25"/>
          <w:szCs w:val="25"/>
          <w:lang w:val="es-ES" w:eastAsia="es-ES"/>
        </w:rPr>
        <w:t xml:space="preserve">Sobre los incidentes de Suspensión de Actuaciones Administrativas y de Nulidad: </w:t>
      </w:r>
      <w:r>
        <w:rPr>
          <w:rStyle w:val="CharacterStyle1"/>
          <w:spacing w:val="-6"/>
          <w:w w:val="105"/>
          <w:lang w:val="es-ES" w:eastAsia="es-ES"/>
        </w:rPr>
        <w:t xml:space="preserve">No </w:t>
      </w:r>
      <w:r>
        <w:rPr>
          <w:rStyle w:val="CharacterStyle1"/>
          <w:spacing w:val="-5"/>
          <w:w w:val="105"/>
          <w:lang w:val="es-ES" w:eastAsia="es-ES"/>
        </w:rPr>
        <w:t xml:space="preserve">existiendo mérito para conocerlos, por las razones antes detalladas, deben ser igualmente </w:t>
      </w:r>
      <w:r>
        <w:rPr>
          <w:rStyle w:val="CharacterStyle1"/>
          <w:spacing w:val="-4"/>
          <w:w w:val="105"/>
          <w:lang w:val="es-ES" w:eastAsia="es-ES"/>
        </w:rPr>
        <w:t>declaradas inadmisibles.</w:t>
      </w:r>
    </w:p>
    <w:p w:rsidR="00A25CD0" w:rsidRDefault="009E2B70">
      <w:pPr>
        <w:pStyle w:val="Style2"/>
        <w:kinsoku w:val="0"/>
        <w:autoSpaceDE/>
        <w:autoSpaceDN/>
        <w:spacing w:before="324" w:line="194" w:lineRule="auto"/>
        <w:ind w:left="0" w:right="0"/>
        <w:jc w:val="center"/>
        <w:rPr>
          <w:rStyle w:val="CharacterStyle1"/>
          <w:b/>
          <w:bCs/>
          <w:sz w:val="25"/>
          <w:szCs w:val="25"/>
          <w:lang w:val="es-ES" w:eastAsia="es-ES"/>
        </w:rPr>
      </w:pPr>
      <w:r>
        <w:rPr>
          <w:rStyle w:val="CharacterStyle1"/>
          <w:b/>
          <w:bCs/>
          <w:sz w:val="25"/>
          <w:szCs w:val="25"/>
          <w:lang w:val="es-ES" w:eastAsia="es-ES"/>
        </w:rPr>
        <w:t>POR TANTO</w:t>
      </w:r>
    </w:p>
    <w:p w:rsidR="00A25CD0" w:rsidRDefault="009E2B70" w:rsidP="009E2B70">
      <w:pPr>
        <w:pStyle w:val="Style2"/>
        <w:numPr>
          <w:ilvl w:val="0"/>
          <w:numId w:val="1"/>
        </w:numPr>
        <w:tabs>
          <w:tab w:val="clear" w:pos="288"/>
          <w:tab w:val="num" w:pos="360"/>
        </w:tabs>
        <w:kinsoku w:val="0"/>
        <w:autoSpaceDE/>
        <w:autoSpaceDN/>
        <w:spacing w:before="288"/>
        <w:ind w:left="0" w:right="0" w:firstLine="0"/>
        <w:rPr>
          <w:rStyle w:val="CharacterStyle1"/>
          <w:spacing w:val="-4"/>
          <w:w w:val="105"/>
          <w:lang w:val="es-ES" w:eastAsia="es-ES"/>
        </w:rPr>
      </w:pPr>
      <w:r>
        <w:rPr>
          <w:rStyle w:val="CharacterStyle1"/>
          <w:spacing w:val="-2"/>
          <w:w w:val="105"/>
          <w:lang w:val="es-ES" w:eastAsia="es-ES"/>
        </w:rPr>
        <w:lastRenderedPageBreak/>
        <w:t xml:space="preserve">Se declara inadmisible por falta de legitimación el recurso venido en alzada, así como </w:t>
      </w:r>
      <w:r>
        <w:rPr>
          <w:rStyle w:val="CharacterStyle1"/>
          <w:spacing w:val="-8"/>
          <w:w w:val="105"/>
          <w:lang w:val="es-ES" w:eastAsia="es-ES"/>
        </w:rPr>
        <w:t xml:space="preserve">los Incidentes de Suspensión del acto Administrativo y de Nulidad presentados por el señor </w:t>
      </w:r>
      <w:r>
        <w:rPr>
          <w:rStyle w:val="CharacterStyle1"/>
          <w:b/>
          <w:bCs/>
          <w:spacing w:val="-1"/>
          <w:sz w:val="20"/>
          <w:szCs w:val="20"/>
          <w:lang w:val="es-ES" w:eastAsia="es-ES"/>
        </w:rPr>
        <w:t xml:space="preserve">HCB, </w:t>
      </w:r>
      <w:r>
        <w:rPr>
          <w:rStyle w:val="CharacterStyle1"/>
          <w:spacing w:val="-1"/>
          <w:w w:val="105"/>
          <w:lang w:val="es-ES" w:eastAsia="es-ES"/>
        </w:rPr>
        <w:t xml:space="preserve">portador de la cédula de identidad </w:t>
      </w:r>
      <w:proofErr w:type="gramStart"/>
      <w:r>
        <w:rPr>
          <w:rStyle w:val="CharacterStyle1"/>
          <w:spacing w:val="-1"/>
          <w:w w:val="105"/>
          <w:lang w:val="es-ES" w:eastAsia="es-ES"/>
        </w:rPr>
        <w:t>número …</w:t>
      </w:r>
      <w:proofErr w:type="gramEnd"/>
      <w:r>
        <w:rPr>
          <w:rStyle w:val="CharacterStyle1"/>
          <w:spacing w:val="-1"/>
          <w:w w:val="105"/>
          <w:lang w:val="es-ES" w:eastAsia="es-ES"/>
        </w:rPr>
        <w:t xml:space="preserve">, por </w:t>
      </w:r>
      <w:r>
        <w:rPr>
          <w:rStyle w:val="CharacterStyle1"/>
          <w:spacing w:val="-4"/>
          <w:w w:val="105"/>
          <w:lang w:val="es-ES" w:eastAsia="es-ES"/>
        </w:rPr>
        <w:t xml:space="preserve">no contar con poder de representación del señor </w:t>
      </w:r>
      <w:r>
        <w:rPr>
          <w:rStyle w:val="CharacterStyle1"/>
          <w:b/>
          <w:bCs/>
          <w:spacing w:val="-4"/>
          <w:sz w:val="20"/>
          <w:szCs w:val="20"/>
          <w:lang w:val="es-ES" w:eastAsia="es-ES"/>
        </w:rPr>
        <w:t xml:space="preserve">RPC, </w:t>
      </w:r>
      <w:r>
        <w:rPr>
          <w:rStyle w:val="CharacterStyle1"/>
          <w:spacing w:val="-4"/>
          <w:w w:val="105"/>
          <w:lang w:val="es-ES" w:eastAsia="es-ES"/>
        </w:rPr>
        <w:t>cédula …</w:t>
      </w:r>
      <w:r>
        <w:rPr>
          <w:rStyle w:val="CharacterStyle1"/>
          <w:spacing w:val="-2"/>
          <w:w w:val="105"/>
          <w:lang w:val="es-ES" w:eastAsia="es-ES"/>
        </w:rPr>
        <w:t xml:space="preserve">, para la impugnación del Acuerdo 2 de la Sesión </w:t>
      </w:r>
      <w:r>
        <w:rPr>
          <w:rStyle w:val="CharacterStyle1"/>
          <w:spacing w:val="-2"/>
          <w:sz w:val="25"/>
          <w:szCs w:val="25"/>
          <w:lang w:val="es-ES" w:eastAsia="es-ES"/>
        </w:rPr>
        <w:t xml:space="preserve">3200 </w:t>
      </w:r>
      <w:r>
        <w:rPr>
          <w:rStyle w:val="CharacterStyle1"/>
          <w:spacing w:val="-2"/>
          <w:w w:val="105"/>
          <w:lang w:val="es-ES" w:eastAsia="es-ES"/>
        </w:rPr>
        <w:t xml:space="preserve">del día 7 de mayo de 1998, </w:t>
      </w:r>
      <w:r>
        <w:rPr>
          <w:rStyle w:val="CharacterStyle1"/>
          <w:spacing w:val="-4"/>
          <w:w w:val="105"/>
          <w:lang w:val="es-ES" w:eastAsia="es-ES"/>
        </w:rPr>
        <w:t>dictado por la extinta Comisión Técnica de Transportes.</w:t>
      </w:r>
    </w:p>
    <w:p w:rsidR="00A25CD0" w:rsidRDefault="009E2B70" w:rsidP="009E2B70">
      <w:pPr>
        <w:pStyle w:val="Style2"/>
        <w:numPr>
          <w:ilvl w:val="0"/>
          <w:numId w:val="2"/>
        </w:numPr>
        <w:tabs>
          <w:tab w:val="clear" w:pos="432"/>
          <w:tab w:val="num" w:pos="504"/>
        </w:tabs>
        <w:kinsoku w:val="0"/>
        <w:autoSpaceDE/>
        <w:autoSpaceDN/>
        <w:spacing w:before="216"/>
        <w:ind w:left="0" w:right="0" w:firstLine="0"/>
        <w:rPr>
          <w:rStyle w:val="CharacterStyle1"/>
          <w:spacing w:val="-4"/>
          <w:w w:val="105"/>
          <w:lang w:val="es-ES" w:eastAsia="es-ES"/>
        </w:rPr>
      </w:pPr>
      <w:r>
        <w:rPr>
          <w:rStyle w:val="CharacterStyle1"/>
          <w:w w:val="105"/>
          <w:lang w:val="es-ES" w:eastAsia="es-ES"/>
        </w:rPr>
        <w:t xml:space="preserve">Por carecer la presente resolución de ulterior recurso en sede administrativa, de </w:t>
      </w:r>
      <w:r>
        <w:rPr>
          <w:rStyle w:val="CharacterStyle1"/>
          <w:spacing w:val="-5"/>
          <w:w w:val="105"/>
          <w:lang w:val="es-ES" w:eastAsia="es-ES"/>
        </w:rPr>
        <w:t xml:space="preserve">conformidad con los artículos 16 y 22 </w:t>
      </w:r>
      <w:proofErr w:type="gramStart"/>
      <w:r>
        <w:rPr>
          <w:rStyle w:val="CharacterStyle1"/>
          <w:spacing w:val="-5"/>
          <w:w w:val="105"/>
          <w:lang w:val="es-ES" w:eastAsia="es-ES"/>
        </w:rPr>
        <w:t>inciso</w:t>
      </w:r>
      <w:proofErr w:type="gramEnd"/>
      <w:r>
        <w:rPr>
          <w:rStyle w:val="CharacterStyle1"/>
          <w:spacing w:val="-5"/>
          <w:w w:val="105"/>
          <w:lang w:val="es-ES" w:eastAsia="es-ES"/>
        </w:rPr>
        <w:t xml:space="preserve"> c) de la Ley 7969, se da por agotada la vía </w:t>
      </w:r>
      <w:r>
        <w:rPr>
          <w:rStyle w:val="CharacterStyle1"/>
          <w:spacing w:val="-4"/>
          <w:w w:val="105"/>
          <w:lang w:val="es-ES" w:eastAsia="es-ES"/>
        </w:rPr>
        <w:t>administrativa.</w:t>
      </w:r>
    </w:p>
    <w:p w:rsidR="00A25CD0" w:rsidRPr="0074418B" w:rsidRDefault="00A25CD0" w:rsidP="009E2B70">
      <w:pPr>
        <w:ind w:left="9"/>
        <w:rPr>
          <w:lang w:val="es-CR"/>
        </w:rPr>
      </w:pPr>
    </w:p>
    <w:p w:rsidR="009E2B70" w:rsidRPr="0074418B" w:rsidRDefault="009E2B70" w:rsidP="009E2B70">
      <w:pPr>
        <w:ind w:left="9"/>
        <w:rPr>
          <w:b/>
          <w:lang w:val="es-CR"/>
        </w:rPr>
      </w:pPr>
      <w:r w:rsidRPr="0074418B">
        <w:rPr>
          <w:b/>
          <w:lang w:val="es-CR"/>
        </w:rPr>
        <w:t>NOTIFIQUESE.-</w:t>
      </w:r>
    </w:p>
    <w:p w:rsidR="009E2B70" w:rsidRPr="0074418B" w:rsidRDefault="009E2B70" w:rsidP="009E2B70">
      <w:pPr>
        <w:ind w:left="9"/>
        <w:rPr>
          <w:lang w:val="es-CR"/>
        </w:rPr>
      </w:pPr>
    </w:p>
    <w:p w:rsidR="009E2B70" w:rsidRPr="0074418B" w:rsidRDefault="009E2B70" w:rsidP="009E2B70">
      <w:pPr>
        <w:ind w:left="9"/>
        <w:rPr>
          <w:lang w:val="es-CR"/>
        </w:rPr>
      </w:pPr>
    </w:p>
    <w:p w:rsidR="009E2B70" w:rsidRPr="00AF1C0C" w:rsidRDefault="009E2B70" w:rsidP="009E2B70">
      <w:pPr>
        <w:pStyle w:val="Sinespaciado"/>
        <w:jc w:val="center"/>
        <w:rPr>
          <w:rFonts w:ascii="Book Antiqua" w:hAnsi="Book Antiqua" w:cs="Tahoma"/>
          <w:b/>
          <w:i/>
          <w:sz w:val="22"/>
          <w:szCs w:val="22"/>
          <w:lang w:val="es-ES" w:eastAsia="es-ES"/>
        </w:rPr>
      </w:pPr>
      <w:r w:rsidRPr="00AF1C0C">
        <w:rPr>
          <w:rFonts w:ascii="Book Antiqua" w:hAnsi="Book Antiqua" w:cs="Tahoma"/>
          <w:b/>
          <w:sz w:val="22"/>
          <w:szCs w:val="22"/>
          <w:lang w:val="es-ES" w:eastAsia="es-ES"/>
        </w:rPr>
        <w:t>Lic. Luis Gerardo Fallas Acosta</w:t>
      </w:r>
    </w:p>
    <w:p w:rsidR="009E2B70" w:rsidRPr="00AF1C0C" w:rsidRDefault="009E2B70" w:rsidP="009E2B70">
      <w:pPr>
        <w:pStyle w:val="Sinespaciado"/>
        <w:jc w:val="center"/>
        <w:rPr>
          <w:rFonts w:ascii="Book Antiqua" w:hAnsi="Book Antiqua" w:cs="Tahoma"/>
          <w:b/>
          <w:sz w:val="22"/>
          <w:szCs w:val="22"/>
          <w:lang w:val="es-ES" w:eastAsia="es-ES"/>
        </w:rPr>
      </w:pPr>
      <w:r w:rsidRPr="00AF1C0C">
        <w:rPr>
          <w:rFonts w:ascii="Book Antiqua" w:hAnsi="Book Antiqua" w:cs="Tahoma"/>
          <w:b/>
          <w:sz w:val="22"/>
          <w:szCs w:val="22"/>
          <w:lang w:val="es-ES" w:eastAsia="es-ES"/>
        </w:rPr>
        <w:t>Presidente</w:t>
      </w:r>
    </w:p>
    <w:p w:rsidR="009E2B70" w:rsidRPr="00AF1C0C" w:rsidRDefault="009E2B70" w:rsidP="009E2B70">
      <w:pPr>
        <w:pStyle w:val="Sinespaciado"/>
        <w:jc w:val="center"/>
        <w:rPr>
          <w:rFonts w:ascii="Book Antiqua" w:hAnsi="Book Antiqua" w:cs="Tahoma"/>
          <w:b/>
          <w:sz w:val="22"/>
          <w:szCs w:val="22"/>
          <w:lang w:val="es-ES" w:eastAsia="es-ES"/>
        </w:rPr>
      </w:pPr>
    </w:p>
    <w:p w:rsidR="009E2B70" w:rsidRPr="00AF1C0C" w:rsidRDefault="009E2B70" w:rsidP="009E2B70">
      <w:pPr>
        <w:pStyle w:val="Sinespaciado"/>
        <w:jc w:val="center"/>
        <w:rPr>
          <w:rFonts w:ascii="Book Antiqua" w:hAnsi="Book Antiqua" w:cs="Tahoma"/>
          <w:b/>
          <w:sz w:val="22"/>
          <w:szCs w:val="22"/>
          <w:lang w:val="es-ES" w:eastAsia="es-ES"/>
        </w:rPr>
      </w:pPr>
      <w:r w:rsidRPr="00AF1C0C">
        <w:rPr>
          <w:rFonts w:ascii="Book Antiqua" w:hAnsi="Book Antiqua" w:cs="Tahoma"/>
          <w:b/>
          <w:sz w:val="22"/>
          <w:szCs w:val="22"/>
          <w:lang w:val="es-ES" w:eastAsia="es-ES"/>
        </w:rPr>
        <w:t xml:space="preserve">Lic. Carlos Miguel Portuguez Méndez </w:t>
      </w:r>
      <w:r>
        <w:rPr>
          <w:rFonts w:ascii="Book Antiqua" w:hAnsi="Book Antiqua" w:cs="Tahoma"/>
          <w:b/>
          <w:sz w:val="22"/>
          <w:szCs w:val="22"/>
          <w:lang w:val="es-ES" w:eastAsia="es-ES"/>
        </w:rPr>
        <w:tab/>
      </w:r>
      <w:r>
        <w:rPr>
          <w:rFonts w:ascii="Book Antiqua" w:hAnsi="Book Antiqua" w:cs="Tahoma"/>
          <w:b/>
          <w:sz w:val="22"/>
          <w:szCs w:val="22"/>
          <w:lang w:val="es-ES" w:eastAsia="es-ES"/>
        </w:rPr>
        <w:tab/>
      </w:r>
      <w:r w:rsidRPr="00AF1C0C">
        <w:rPr>
          <w:rFonts w:ascii="Book Antiqua" w:hAnsi="Book Antiqua" w:cs="Tahoma"/>
          <w:b/>
          <w:sz w:val="22"/>
          <w:szCs w:val="22"/>
          <w:lang w:val="es-ES" w:eastAsia="es-ES"/>
        </w:rPr>
        <w:t>Licda. Marta Luz Pérez Peláez</w:t>
      </w:r>
    </w:p>
    <w:p w:rsidR="009E2B70" w:rsidRPr="005A71EA" w:rsidRDefault="009E2B70" w:rsidP="009E2B70">
      <w:pPr>
        <w:pStyle w:val="Sinespaciado"/>
        <w:ind w:left="720" w:firstLine="720"/>
        <w:jc w:val="both"/>
        <w:rPr>
          <w:rStyle w:val="CharacterStyle5"/>
          <w:rFonts w:ascii="Book Antiqua" w:hAnsi="Book Antiqua" w:cs="Tahoma"/>
          <w:b/>
          <w:sz w:val="22"/>
          <w:szCs w:val="22"/>
          <w:lang w:val="es-ES" w:eastAsia="es-ES"/>
        </w:rPr>
      </w:pPr>
      <w:r w:rsidRPr="00AF1C0C">
        <w:rPr>
          <w:rFonts w:ascii="Book Antiqua" w:hAnsi="Book Antiqua" w:cs="Tahoma"/>
          <w:b/>
          <w:sz w:val="22"/>
          <w:szCs w:val="22"/>
          <w:lang w:val="es-ES" w:eastAsia="es-ES"/>
        </w:rPr>
        <w:t>Juez</w:t>
      </w:r>
      <w:r w:rsidRPr="00AF1C0C">
        <w:rPr>
          <w:rFonts w:ascii="Book Antiqua" w:hAnsi="Book Antiqua" w:cs="Tahoma"/>
          <w:b/>
          <w:sz w:val="22"/>
          <w:szCs w:val="22"/>
          <w:lang w:val="es-ES" w:eastAsia="es-ES"/>
        </w:rPr>
        <w:tab/>
      </w:r>
      <w:r w:rsidRPr="00AF1C0C">
        <w:rPr>
          <w:rFonts w:ascii="Book Antiqua" w:hAnsi="Book Antiqua" w:cs="Tahoma"/>
          <w:b/>
          <w:sz w:val="22"/>
          <w:szCs w:val="22"/>
          <w:lang w:val="es-ES" w:eastAsia="es-ES"/>
        </w:rPr>
        <w:tab/>
      </w:r>
      <w:r w:rsidRPr="00AF1C0C">
        <w:rPr>
          <w:rFonts w:ascii="Book Antiqua" w:hAnsi="Book Antiqua" w:cs="Tahoma"/>
          <w:b/>
          <w:sz w:val="22"/>
          <w:szCs w:val="22"/>
          <w:lang w:val="es-ES" w:eastAsia="es-ES"/>
        </w:rPr>
        <w:tab/>
      </w:r>
      <w:r w:rsidRPr="00AF1C0C">
        <w:rPr>
          <w:rFonts w:ascii="Book Antiqua" w:hAnsi="Book Antiqua" w:cs="Tahoma"/>
          <w:b/>
          <w:sz w:val="22"/>
          <w:szCs w:val="22"/>
          <w:lang w:val="es-ES" w:eastAsia="es-ES"/>
        </w:rPr>
        <w:tab/>
        <w:t xml:space="preserve">       </w:t>
      </w:r>
      <w:r>
        <w:rPr>
          <w:rFonts w:ascii="Book Antiqua" w:hAnsi="Book Antiqua" w:cs="Tahoma"/>
          <w:b/>
          <w:sz w:val="22"/>
          <w:szCs w:val="22"/>
          <w:lang w:val="es-ES" w:eastAsia="es-ES"/>
        </w:rPr>
        <w:tab/>
      </w:r>
      <w:r>
        <w:rPr>
          <w:rFonts w:ascii="Book Antiqua" w:hAnsi="Book Antiqua" w:cs="Tahoma"/>
          <w:b/>
          <w:sz w:val="22"/>
          <w:szCs w:val="22"/>
          <w:lang w:val="es-ES" w:eastAsia="es-ES"/>
        </w:rPr>
        <w:tab/>
      </w:r>
      <w:r>
        <w:rPr>
          <w:rFonts w:ascii="Book Antiqua" w:hAnsi="Book Antiqua" w:cs="Tahoma"/>
          <w:b/>
          <w:sz w:val="22"/>
          <w:szCs w:val="22"/>
          <w:lang w:val="es-ES" w:eastAsia="es-ES"/>
        </w:rPr>
        <w:tab/>
      </w:r>
      <w:r w:rsidRPr="00AF1C0C">
        <w:rPr>
          <w:rFonts w:ascii="Book Antiqua" w:hAnsi="Book Antiqua" w:cs="Tahoma"/>
          <w:b/>
          <w:sz w:val="22"/>
          <w:szCs w:val="22"/>
          <w:lang w:val="es-ES" w:eastAsia="es-ES"/>
        </w:rPr>
        <w:t xml:space="preserve"> Juez</w:t>
      </w:r>
    </w:p>
    <w:p w:rsidR="009E2B70" w:rsidRPr="009E2B70" w:rsidRDefault="009E2B70" w:rsidP="009E2B70">
      <w:pPr>
        <w:ind w:left="9"/>
        <w:rPr>
          <w:lang w:val="es-ES"/>
        </w:rPr>
      </w:pPr>
    </w:p>
    <w:sectPr w:rsidR="009E2B70" w:rsidRPr="009E2B70" w:rsidSect="00A25CD0">
      <w:pgSz w:w="12134" w:h="15840"/>
      <w:pgMar w:top="831" w:right="621" w:bottom="677" w:left="162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24B"/>
    <w:multiLevelType w:val="singleLevel"/>
    <w:tmpl w:val="61BE5246"/>
    <w:lvl w:ilvl="0">
      <w:start w:val="1"/>
      <w:numFmt w:val="upperRoman"/>
      <w:lvlText w:val="%1.-"/>
      <w:lvlJc w:val="left"/>
      <w:pPr>
        <w:tabs>
          <w:tab w:val="num" w:pos="288"/>
        </w:tabs>
        <w:ind w:firstLine="72"/>
      </w:pPr>
      <w:rPr>
        <w:b/>
        <w:snapToGrid/>
        <w:spacing w:val="-2"/>
        <w:w w:val="105"/>
        <w:sz w:val="24"/>
        <w:szCs w:val="24"/>
      </w:rPr>
    </w:lvl>
  </w:abstractNum>
  <w:num w:numId="1">
    <w:abstractNumId w:val="0"/>
  </w:num>
  <w:num w:numId="2">
    <w:abstractNumId w:val="0"/>
    <w:lvlOverride w:ilvl="0">
      <w:lvl w:ilvl="0">
        <w:numFmt w:val="upperRoman"/>
        <w:lvlText w:val="%1.-"/>
        <w:lvlJc w:val="left"/>
        <w:pPr>
          <w:tabs>
            <w:tab w:val="num" w:pos="432"/>
          </w:tabs>
          <w:ind w:firstLine="72"/>
        </w:pPr>
        <w:rPr>
          <w:b/>
          <w:snapToGrid/>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2127C8"/>
    <w:rsid w:val="000B7289"/>
    <w:rsid w:val="002127C8"/>
    <w:rsid w:val="003C7321"/>
    <w:rsid w:val="0074418B"/>
    <w:rsid w:val="009E2B70"/>
    <w:rsid w:val="00A25CD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CD0"/>
    <w:pPr>
      <w:widowControl w:val="0"/>
      <w:kinsoku w:val="0"/>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25CD0"/>
    <w:pPr>
      <w:kinsoku/>
      <w:autoSpaceDE w:val="0"/>
      <w:autoSpaceDN w:val="0"/>
      <w:adjustRightInd w:val="0"/>
    </w:pPr>
  </w:style>
  <w:style w:type="paragraph" w:customStyle="1" w:styleId="Style4">
    <w:name w:val="Style 4"/>
    <w:basedOn w:val="Normal"/>
    <w:uiPriority w:val="99"/>
    <w:rsid w:val="00A25CD0"/>
    <w:pPr>
      <w:kinsoku/>
      <w:autoSpaceDE w:val="0"/>
      <w:autoSpaceDN w:val="0"/>
      <w:spacing w:line="211" w:lineRule="auto"/>
    </w:pPr>
  </w:style>
  <w:style w:type="paragraph" w:customStyle="1" w:styleId="Style2">
    <w:name w:val="Style 2"/>
    <w:basedOn w:val="Normal"/>
    <w:uiPriority w:val="99"/>
    <w:rsid w:val="00A25CD0"/>
    <w:pPr>
      <w:kinsoku/>
      <w:autoSpaceDE w:val="0"/>
      <w:autoSpaceDN w:val="0"/>
      <w:spacing w:before="252"/>
      <w:ind w:left="72" w:right="72"/>
      <w:jc w:val="both"/>
    </w:pPr>
  </w:style>
  <w:style w:type="paragraph" w:customStyle="1" w:styleId="Style3">
    <w:name w:val="Style 3"/>
    <w:basedOn w:val="Normal"/>
    <w:uiPriority w:val="99"/>
    <w:rsid w:val="00A25CD0"/>
    <w:pPr>
      <w:kinsoku/>
      <w:autoSpaceDE w:val="0"/>
      <w:autoSpaceDN w:val="0"/>
      <w:adjustRightInd w:val="0"/>
    </w:pPr>
    <w:rPr>
      <w:sz w:val="20"/>
      <w:szCs w:val="20"/>
    </w:rPr>
  </w:style>
  <w:style w:type="paragraph" w:customStyle="1" w:styleId="Style5">
    <w:name w:val="Style 5"/>
    <w:basedOn w:val="Normal"/>
    <w:uiPriority w:val="99"/>
    <w:rsid w:val="00A25CD0"/>
    <w:pPr>
      <w:kinsoku/>
      <w:autoSpaceDE w:val="0"/>
      <w:autoSpaceDN w:val="0"/>
      <w:spacing w:before="360"/>
      <w:ind w:left="72"/>
    </w:pPr>
  </w:style>
  <w:style w:type="paragraph" w:customStyle="1" w:styleId="Style6">
    <w:name w:val="Style 6"/>
    <w:basedOn w:val="Normal"/>
    <w:uiPriority w:val="99"/>
    <w:rsid w:val="00A25CD0"/>
    <w:pPr>
      <w:kinsoku/>
      <w:autoSpaceDE w:val="0"/>
      <w:autoSpaceDN w:val="0"/>
      <w:adjustRightInd w:val="0"/>
    </w:pPr>
    <w:rPr>
      <w:sz w:val="23"/>
      <w:szCs w:val="23"/>
    </w:rPr>
  </w:style>
  <w:style w:type="character" w:customStyle="1" w:styleId="CharacterStyle1">
    <w:name w:val="Character Style 1"/>
    <w:uiPriority w:val="99"/>
    <w:rsid w:val="00A25CD0"/>
    <w:rPr>
      <w:sz w:val="24"/>
      <w:szCs w:val="24"/>
    </w:rPr>
  </w:style>
  <w:style w:type="character" w:customStyle="1" w:styleId="CharacterStyle4">
    <w:name w:val="Character Style 4"/>
    <w:uiPriority w:val="99"/>
    <w:rsid w:val="00A25CD0"/>
    <w:rPr>
      <w:sz w:val="20"/>
      <w:szCs w:val="20"/>
    </w:rPr>
  </w:style>
  <w:style w:type="character" w:customStyle="1" w:styleId="CharacterStyle5">
    <w:name w:val="Character Style 5"/>
    <w:uiPriority w:val="99"/>
    <w:rsid w:val="00A25CD0"/>
    <w:rPr>
      <w:sz w:val="23"/>
      <w:szCs w:val="23"/>
    </w:rPr>
  </w:style>
  <w:style w:type="paragraph" w:styleId="Textodeglobo">
    <w:name w:val="Balloon Text"/>
    <w:basedOn w:val="Normal"/>
    <w:link w:val="TextodegloboCar"/>
    <w:uiPriority w:val="99"/>
    <w:semiHidden/>
    <w:unhideWhenUsed/>
    <w:rsid w:val="009E2B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E2B70"/>
    <w:rPr>
      <w:rFonts w:ascii="Tahoma" w:hAnsi="Tahoma" w:cs="Tahoma"/>
      <w:sz w:val="16"/>
      <w:szCs w:val="16"/>
      <w:lang w:val="en-US"/>
    </w:rPr>
  </w:style>
  <w:style w:type="paragraph" w:styleId="Sinespaciado">
    <w:name w:val="No Spacing"/>
    <w:uiPriority w:val="1"/>
    <w:qFormat/>
    <w:rsid w:val="009E2B70"/>
    <w:pPr>
      <w:widowControl w:val="0"/>
      <w:kinsoku w:val="0"/>
      <w:spacing w:after="0" w:line="240" w:lineRule="auto"/>
    </w:pPr>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570</Words>
  <Characters>3135</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5</cp:revision>
  <dcterms:created xsi:type="dcterms:W3CDTF">2012-10-02T19:40:00Z</dcterms:created>
  <dcterms:modified xsi:type="dcterms:W3CDTF">2012-10-09T18:05:00Z</dcterms:modified>
</cp:coreProperties>
</file>